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方正小标宋简体" w:hAnsi="宋体" w:eastAsia="方正小标宋简体" w:cs="宋体"/>
          <w:b/>
          <w:bCs/>
          <w:kern w:val="0"/>
          <w:sz w:val="36"/>
          <w:szCs w:val="36"/>
          <w:lang w:val="en-US" w:eastAsia="zh-CN"/>
        </w:rPr>
      </w:pPr>
      <w:r>
        <w:rPr>
          <w:rFonts w:hint="eastAsia" w:ascii="方正小标宋简体" w:hAnsi="宋体" w:eastAsia="方正小标宋简体" w:cs="宋体"/>
          <w:b/>
          <w:bCs/>
          <w:kern w:val="0"/>
          <w:sz w:val="36"/>
          <w:szCs w:val="36"/>
        </w:rPr>
        <w:t>关于开展芜湖市小学语文优质课</w:t>
      </w:r>
      <w:r>
        <w:rPr>
          <w:rFonts w:hint="eastAsia" w:ascii="方正小标宋简体" w:hAnsi="宋体" w:eastAsia="方正小标宋简体" w:cs="宋体"/>
          <w:b/>
          <w:bCs/>
          <w:kern w:val="0"/>
          <w:sz w:val="36"/>
          <w:szCs w:val="36"/>
          <w:lang w:eastAsia="zh-CN"/>
        </w:rPr>
        <w:t>和</w:t>
      </w:r>
      <w:r>
        <w:rPr>
          <w:rFonts w:hint="eastAsia" w:ascii="方正小标宋简体" w:hAnsi="宋体" w:eastAsia="方正小标宋简体" w:cs="宋体"/>
          <w:b/>
          <w:bCs/>
          <w:kern w:val="0"/>
          <w:sz w:val="36"/>
          <w:szCs w:val="36"/>
        </w:rPr>
        <w:t>“阳光云课”</w:t>
      </w:r>
      <w:r>
        <w:rPr>
          <w:rFonts w:hint="eastAsia" w:ascii="方正小标宋简体" w:hAnsi="宋体" w:eastAsia="方正小标宋简体" w:cs="宋体"/>
          <w:b/>
          <w:bCs/>
          <w:kern w:val="0"/>
          <w:sz w:val="36"/>
          <w:szCs w:val="36"/>
          <w:lang w:val="en-US" w:eastAsia="zh-CN"/>
        </w:rPr>
        <w:t>应用文写作</w:t>
      </w:r>
    </w:p>
    <w:p>
      <w:pPr>
        <w:widowControl/>
        <w:spacing w:line="360" w:lineRule="auto"/>
        <w:jc w:val="center"/>
        <w:rPr>
          <w:rFonts w:ascii="方正小标宋简体" w:hAnsi="宋体" w:eastAsia="方正小标宋简体" w:cs="宋体"/>
          <w:b/>
          <w:bCs/>
          <w:kern w:val="0"/>
          <w:sz w:val="36"/>
          <w:szCs w:val="36"/>
        </w:rPr>
      </w:pPr>
      <w:r>
        <w:rPr>
          <w:rFonts w:hint="eastAsia" w:ascii="方正小标宋简体" w:hAnsi="宋体" w:eastAsia="方正小标宋简体" w:cs="宋体"/>
          <w:b/>
          <w:bCs/>
          <w:kern w:val="0"/>
          <w:sz w:val="36"/>
          <w:szCs w:val="36"/>
          <w:lang w:eastAsia="zh-CN"/>
        </w:rPr>
        <w:t>专题</w:t>
      </w:r>
      <w:r>
        <w:rPr>
          <w:rFonts w:hint="eastAsia" w:ascii="方正小标宋简体" w:hAnsi="宋体" w:eastAsia="方正小标宋简体" w:cs="宋体"/>
          <w:b/>
          <w:bCs/>
          <w:kern w:val="0"/>
          <w:sz w:val="36"/>
          <w:szCs w:val="36"/>
        </w:rPr>
        <w:t>观摩研讨活动的通知</w:t>
      </w:r>
    </w:p>
    <w:p>
      <w:pPr>
        <w:spacing w:line="440" w:lineRule="exact"/>
        <w:rPr>
          <w:rFonts w:ascii="仿宋_GB2312" w:eastAsia="仿宋_GB2312"/>
          <w:sz w:val="28"/>
          <w:szCs w:val="28"/>
        </w:rPr>
      </w:pPr>
    </w:p>
    <w:p>
      <w:pPr>
        <w:spacing w:line="440" w:lineRule="exact"/>
        <w:rPr>
          <w:rFonts w:hint="eastAsia" w:ascii="仿宋_GB2312" w:eastAsia="仿宋_GB2312"/>
          <w:sz w:val="28"/>
          <w:szCs w:val="28"/>
        </w:rPr>
      </w:pPr>
      <w:r>
        <w:rPr>
          <w:rFonts w:hint="eastAsia" w:ascii="仿宋_GB2312" w:eastAsia="仿宋_GB2312"/>
          <w:sz w:val="28"/>
          <w:szCs w:val="28"/>
        </w:rPr>
        <w:t>各市（县）区教研室、教师发展</w:t>
      </w:r>
      <w:r>
        <w:rPr>
          <w:rFonts w:hint="eastAsia" w:ascii="仿宋_GB2312" w:eastAsia="仿宋_GB2312"/>
          <w:sz w:val="28"/>
          <w:szCs w:val="28"/>
          <w:lang w:eastAsia="zh-CN"/>
        </w:rPr>
        <w:t>（服务）</w:t>
      </w:r>
      <w:r>
        <w:rPr>
          <w:rFonts w:hint="eastAsia" w:ascii="仿宋_GB2312" w:eastAsia="仿宋_GB2312"/>
          <w:sz w:val="28"/>
          <w:szCs w:val="28"/>
        </w:rPr>
        <w:t xml:space="preserve">中心，各直属小学： </w:t>
      </w:r>
    </w:p>
    <w:p>
      <w:pPr>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为进一步促进教师在统编教材理念指导下深入开展教学研究和实践探索，全面提升教师教书育人的能力和水平，市教研室定于2020年9月</w:t>
      </w:r>
      <w:r>
        <w:rPr>
          <w:rFonts w:hint="eastAsia" w:ascii="仿宋_GB2312" w:eastAsia="仿宋_GB2312"/>
          <w:sz w:val="28"/>
          <w:szCs w:val="28"/>
          <w:lang w:val="en-US" w:eastAsia="zh-CN"/>
        </w:rPr>
        <w:t>15</w:t>
      </w:r>
      <w:r>
        <w:rPr>
          <w:rFonts w:hint="eastAsia" w:ascii="仿宋_GB2312" w:eastAsia="仿宋_GB2312"/>
          <w:sz w:val="28"/>
          <w:szCs w:val="28"/>
        </w:rPr>
        <w:t>日（星期</w:t>
      </w:r>
      <w:r>
        <w:rPr>
          <w:rFonts w:hint="eastAsia" w:ascii="仿宋_GB2312" w:eastAsia="仿宋_GB2312"/>
          <w:sz w:val="28"/>
          <w:szCs w:val="28"/>
          <w:lang w:val="en-US" w:eastAsia="zh-CN"/>
        </w:rPr>
        <w:t>二</w:t>
      </w:r>
      <w:r>
        <w:rPr>
          <w:rFonts w:hint="eastAsia" w:ascii="仿宋_GB2312" w:eastAsia="仿宋_GB2312"/>
          <w:sz w:val="28"/>
          <w:szCs w:val="28"/>
        </w:rPr>
        <w:t>）在</w:t>
      </w:r>
      <w:r>
        <w:rPr>
          <w:rFonts w:hint="eastAsia" w:ascii="仿宋_GB2312" w:eastAsia="仿宋_GB2312"/>
          <w:sz w:val="28"/>
          <w:szCs w:val="28"/>
          <w:lang w:val="en-US" w:eastAsia="zh-CN"/>
        </w:rPr>
        <w:t>安徽师范大学附属小学</w:t>
      </w:r>
      <w:r>
        <w:rPr>
          <w:rFonts w:hint="eastAsia" w:ascii="仿宋_GB2312" w:eastAsia="仿宋_GB2312"/>
          <w:sz w:val="28"/>
          <w:szCs w:val="28"/>
        </w:rPr>
        <w:t>举行芜湖市小学语文优质课</w:t>
      </w:r>
      <w:r>
        <w:rPr>
          <w:rFonts w:hint="eastAsia" w:ascii="仿宋_GB2312" w:eastAsia="仿宋_GB2312"/>
          <w:sz w:val="28"/>
          <w:szCs w:val="28"/>
          <w:lang w:eastAsia="zh-CN"/>
        </w:rPr>
        <w:t>和</w:t>
      </w:r>
      <w:r>
        <w:rPr>
          <w:rFonts w:hint="eastAsia" w:ascii="仿宋_GB2312" w:eastAsia="仿宋_GB2312"/>
          <w:sz w:val="28"/>
          <w:szCs w:val="28"/>
        </w:rPr>
        <w:t>“阳光云课”</w:t>
      </w:r>
      <w:r>
        <w:rPr>
          <w:rFonts w:hint="eastAsia" w:ascii="仿宋_GB2312" w:eastAsia="仿宋_GB2312"/>
          <w:sz w:val="28"/>
          <w:szCs w:val="28"/>
          <w:lang w:val="en-US" w:eastAsia="zh-CN"/>
        </w:rPr>
        <w:t>应用文写作</w:t>
      </w:r>
      <w:r>
        <w:rPr>
          <w:rFonts w:hint="eastAsia" w:ascii="仿宋_GB2312" w:eastAsia="仿宋_GB2312"/>
          <w:sz w:val="28"/>
          <w:szCs w:val="28"/>
          <w:lang w:eastAsia="zh-CN"/>
        </w:rPr>
        <w:t>指导专题</w:t>
      </w:r>
      <w:r>
        <w:rPr>
          <w:rFonts w:hint="eastAsia" w:ascii="仿宋_GB2312" w:eastAsia="仿宋_GB2312"/>
          <w:sz w:val="28"/>
          <w:szCs w:val="28"/>
        </w:rPr>
        <w:t>观摩研讨活动。现将有关事项</w:t>
      </w:r>
      <w:bookmarkStart w:id="0" w:name="_GoBack"/>
      <w:bookmarkEnd w:id="0"/>
      <w:r>
        <w:rPr>
          <w:rFonts w:hint="eastAsia" w:ascii="仿宋_GB2312" w:eastAsia="仿宋_GB2312"/>
          <w:sz w:val="28"/>
          <w:szCs w:val="28"/>
        </w:rPr>
        <w:t>通知如下：</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一、活动时间</w:t>
      </w:r>
      <w:r>
        <w:rPr>
          <w:rFonts w:hint="eastAsia" w:ascii="仿宋_GB2312" w:eastAsia="仿宋_GB2312"/>
          <w:sz w:val="28"/>
          <w:szCs w:val="28"/>
        </w:rPr>
        <w:t>：2020年9月</w:t>
      </w:r>
      <w:r>
        <w:rPr>
          <w:rFonts w:hint="eastAsia" w:ascii="仿宋_GB2312" w:eastAsia="仿宋_GB2312"/>
          <w:sz w:val="28"/>
          <w:szCs w:val="28"/>
          <w:lang w:val="en-US" w:eastAsia="zh-CN"/>
        </w:rPr>
        <w:t>15</w:t>
      </w:r>
      <w:r>
        <w:rPr>
          <w:rFonts w:hint="eastAsia" w:ascii="仿宋_GB2312" w:eastAsia="仿宋_GB2312"/>
          <w:sz w:val="28"/>
          <w:szCs w:val="28"/>
        </w:rPr>
        <w:t>日上午8:</w:t>
      </w:r>
      <w:r>
        <w:rPr>
          <w:rFonts w:hint="eastAsia" w:ascii="仿宋_GB2312" w:eastAsia="仿宋_GB2312"/>
          <w:sz w:val="28"/>
          <w:szCs w:val="28"/>
          <w:lang w:val="en-US" w:eastAsia="zh-CN"/>
        </w:rPr>
        <w:t>3</w:t>
      </w:r>
      <w:r>
        <w:rPr>
          <w:rFonts w:hint="eastAsia" w:ascii="仿宋_GB2312" w:eastAsia="仿宋_GB2312"/>
          <w:sz w:val="28"/>
          <w:szCs w:val="28"/>
        </w:rPr>
        <w:t>0</w:t>
      </w:r>
    </w:p>
    <w:p>
      <w:pPr>
        <w:spacing w:line="440" w:lineRule="exact"/>
        <w:ind w:firstLine="562" w:firstLineChars="200"/>
        <w:rPr>
          <w:rFonts w:hint="default" w:ascii="仿宋_GB2312" w:eastAsia="仿宋_GB2312"/>
          <w:sz w:val="28"/>
          <w:szCs w:val="28"/>
          <w:lang w:val="en-US"/>
        </w:rPr>
      </w:pPr>
      <w:r>
        <w:rPr>
          <w:rFonts w:hint="eastAsia" w:ascii="仿宋_GB2312" w:eastAsia="仿宋_GB2312"/>
          <w:b/>
          <w:bCs/>
          <w:sz w:val="28"/>
          <w:szCs w:val="28"/>
        </w:rPr>
        <w:t>二、活动地点</w:t>
      </w:r>
      <w:r>
        <w:rPr>
          <w:rFonts w:hint="eastAsia" w:ascii="仿宋_GB2312" w:eastAsia="仿宋_GB2312"/>
          <w:sz w:val="28"/>
          <w:szCs w:val="28"/>
        </w:rPr>
        <w:t>：</w:t>
      </w:r>
      <w:r>
        <w:rPr>
          <w:rFonts w:hint="eastAsia" w:ascii="仿宋_GB2312" w:eastAsia="仿宋_GB2312"/>
          <w:sz w:val="28"/>
          <w:szCs w:val="28"/>
          <w:lang w:val="en-US" w:eastAsia="zh-CN"/>
        </w:rPr>
        <w:t>安师大附小多媒体2室</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三、活动内容</w:t>
      </w:r>
      <w:r>
        <w:rPr>
          <w:rFonts w:hint="eastAsia" w:ascii="仿宋_GB2312" w:eastAsia="仿宋_GB2312"/>
          <w:sz w:val="28"/>
          <w:szCs w:val="28"/>
        </w:rPr>
        <w:t>：</w:t>
      </w:r>
    </w:p>
    <w:tbl>
      <w:tblPr>
        <w:tblStyle w:val="4"/>
        <w:tblW w:w="9168" w:type="dxa"/>
        <w:jc w:val="center"/>
        <w:tblLayout w:type="fixed"/>
        <w:tblCellMar>
          <w:top w:w="0" w:type="dxa"/>
          <w:left w:w="0" w:type="dxa"/>
          <w:bottom w:w="0" w:type="dxa"/>
          <w:right w:w="0" w:type="dxa"/>
        </w:tblCellMar>
      </w:tblPr>
      <w:tblGrid>
        <w:gridCol w:w="1807"/>
        <w:gridCol w:w="3824"/>
        <w:gridCol w:w="2450"/>
        <w:gridCol w:w="1087"/>
      </w:tblGrid>
      <w:tr>
        <w:tblPrEx>
          <w:tblCellMar>
            <w:top w:w="0" w:type="dxa"/>
            <w:left w:w="0" w:type="dxa"/>
            <w:bottom w:w="0" w:type="dxa"/>
            <w:right w:w="0" w:type="dxa"/>
          </w:tblCellMar>
        </w:tblPrEx>
        <w:trPr>
          <w:trHeight w:val="576" w:hRule="exact"/>
          <w:jc w:val="center"/>
        </w:trPr>
        <w:tc>
          <w:tcPr>
            <w:tcW w:w="1807" w:type="dxa"/>
            <w:tcBorders>
              <w:top w:val="inset" w:color="auto" w:sz="6" w:space="0"/>
              <w:left w:val="inset" w:color="auto" w:sz="6"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时</w:t>
            </w:r>
            <w:r>
              <w:rPr>
                <w:rFonts w:hint="eastAsia" w:eastAsia="仿宋_GB2312"/>
                <w:sz w:val="24"/>
                <w:szCs w:val="24"/>
              </w:rPr>
              <w:t>  </w:t>
            </w:r>
            <w:r>
              <w:rPr>
                <w:rFonts w:hint="eastAsia" w:ascii="仿宋_GB2312" w:eastAsia="仿宋_GB2312"/>
                <w:sz w:val="24"/>
                <w:szCs w:val="24"/>
              </w:rPr>
              <w:t>间</w:t>
            </w:r>
          </w:p>
        </w:tc>
        <w:tc>
          <w:tcPr>
            <w:tcW w:w="3824"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内容</w:t>
            </w:r>
          </w:p>
        </w:tc>
        <w:tc>
          <w:tcPr>
            <w:tcW w:w="2450"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授课教师</w:t>
            </w:r>
          </w:p>
        </w:tc>
        <w:tc>
          <w:tcPr>
            <w:tcW w:w="1087"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主持人</w:t>
            </w:r>
          </w:p>
        </w:tc>
      </w:tr>
      <w:tr>
        <w:tblPrEx>
          <w:tblCellMar>
            <w:top w:w="0" w:type="dxa"/>
            <w:left w:w="0" w:type="dxa"/>
            <w:bottom w:w="0" w:type="dxa"/>
            <w:right w:w="0" w:type="dxa"/>
          </w:tblCellMar>
        </w:tblPrEx>
        <w:trPr>
          <w:trHeight w:val="526" w:hRule="exact"/>
          <w:jc w:val="center"/>
        </w:trPr>
        <w:tc>
          <w:tcPr>
            <w:tcW w:w="1807" w:type="dxa"/>
            <w:tcBorders>
              <w:top w:val="inset" w:color="auto" w:sz="6" w:space="0"/>
              <w:left w:val="inset" w:color="auto" w:sz="6"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8:</w:t>
            </w:r>
            <w:r>
              <w:rPr>
                <w:rFonts w:hint="eastAsia" w:ascii="仿宋_GB2312" w:eastAsia="仿宋_GB2312"/>
                <w:sz w:val="24"/>
                <w:szCs w:val="24"/>
                <w:lang w:val="en-US" w:eastAsia="zh-CN"/>
              </w:rPr>
              <w:t>3</w:t>
            </w:r>
            <w:r>
              <w:rPr>
                <w:rFonts w:hint="eastAsia" w:ascii="仿宋_GB2312" w:eastAsia="仿宋_GB2312"/>
                <w:sz w:val="24"/>
                <w:szCs w:val="24"/>
              </w:rPr>
              <w:t>0～9:</w:t>
            </w:r>
            <w:r>
              <w:rPr>
                <w:rFonts w:hint="eastAsia" w:ascii="仿宋_GB2312" w:eastAsia="仿宋_GB2312"/>
                <w:sz w:val="24"/>
                <w:szCs w:val="24"/>
                <w:lang w:val="en-US" w:eastAsia="zh-CN"/>
              </w:rPr>
              <w:t>1</w:t>
            </w:r>
            <w:r>
              <w:rPr>
                <w:rFonts w:hint="eastAsia" w:ascii="仿宋_GB2312" w:eastAsia="仿宋_GB2312"/>
                <w:sz w:val="24"/>
                <w:szCs w:val="24"/>
              </w:rPr>
              <w:t>0</w:t>
            </w:r>
          </w:p>
        </w:tc>
        <w:tc>
          <w:tcPr>
            <w:tcW w:w="3824" w:type="dxa"/>
            <w:tcBorders>
              <w:top w:val="inset" w:color="auto" w:sz="6" w:space="0"/>
              <w:left w:val="nil"/>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lang w:val="en-US" w:eastAsia="zh-CN"/>
              </w:rPr>
              <w:t>闻官军收河南河北</w:t>
            </w:r>
          </w:p>
        </w:tc>
        <w:tc>
          <w:tcPr>
            <w:tcW w:w="2450" w:type="dxa"/>
            <w:tcBorders>
              <w:top w:val="inset" w:color="auto" w:sz="6" w:space="0"/>
              <w:left w:val="nil"/>
              <w:bottom w:val="inset" w:color="auto" w:sz="6" w:space="0"/>
              <w:right w:val="inset" w:color="auto" w:sz="6" w:space="0"/>
            </w:tcBorders>
            <w:vAlign w:val="center"/>
          </w:tcPr>
          <w:p>
            <w:pPr>
              <w:spacing w:line="440" w:lineRule="exact"/>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安师大附小 郑红</w:t>
            </w:r>
          </w:p>
        </w:tc>
        <w:tc>
          <w:tcPr>
            <w:tcW w:w="1087" w:type="dxa"/>
            <w:vMerge w:val="restart"/>
            <w:tcBorders>
              <w:top w:val="nil"/>
              <w:left w:val="nil"/>
              <w:bottom w:val="nil"/>
              <w:right w:val="inset" w:color="auto" w:sz="6" w:space="0"/>
            </w:tcBorders>
            <w:vAlign w:val="center"/>
          </w:tcPr>
          <w:p>
            <w:pPr>
              <w:spacing w:line="440" w:lineRule="exact"/>
              <w:jc w:val="center"/>
              <w:rPr>
                <w:rFonts w:hint="eastAsia" w:ascii="仿宋_GB2312" w:eastAsia="仿宋_GB2312"/>
                <w:sz w:val="24"/>
                <w:szCs w:val="24"/>
                <w:lang w:eastAsia="zh-CN"/>
              </w:rPr>
            </w:pPr>
            <w:r>
              <w:rPr>
                <w:rFonts w:hint="eastAsia" w:ascii="仿宋_GB2312" w:eastAsia="仿宋_GB2312"/>
                <w:sz w:val="24"/>
                <w:szCs w:val="24"/>
                <w:lang w:val="en-US" w:eastAsia="zh-CN"/>
              </w:rPr>
              <w:t>刘璟</w:t>
            </w:r>
          </w:p>
        </w:tc>
      </w:tr>
      <w:tr>
        <w:tblPrEx>
          <w:tblCellMar>
            <w:top w:w="0" w:type="dxa"/>
            <w:left w:w="0" w:type="dxa"/>
            <w:bottom w:w="0" w:type="dxa"/>
            <w:right w:w="0" w:type="dxa"/>
          </w:tblCellMar>
        </w:tblPrEx>
        <w:trPr>
          <w:trHeight w:val="594" w:hRule="exact"/>
          <w:jc w:val="center"/>
        </w:trPr>
        <w:tc>
          <w:tcPr>
            <w:tcW w:w="1807" w:type="dxa"/>
            <w:tcBorders>
              <w:top w:val="inset" w:color="auto" w:sz="6" w:space="0"/>
              <w:left w:val="inset" w:color="auto" w:sz="6" w:space="0"/>
              <w:bottom w:val="single" w:color="auto" w:sz="4" w:space="0"/>
              <w:right w:val="inset" w:color="auto" w:sz="6" w:space="0"/>
            </w:tcBorders>
            <w:vAlign w:val="center"/>
          </w:tcPr>
          <w:p>
            <w:pPr>
              <w:spacing w:line="440" w:lineRule="exact"/>
              <w:jc w:val="center"/>
              <w:rPr>
                <w:rFonts w:hint="default" w:ascii="仿宋_GB2312" w:eastAsia="仿宋_GB2312"/>
                <w:sz w:val="24"/>
                <w:szCs w:val="24"/>
                <w:lang w:val="en-US" w:eastAsia="zh-CN"/>
              </w:rPr>
            </w:pPr>
            <w:r>
              <w:rPr>
                <w:rFonts w:hint="eastAsia" w:ascii="仿宋_GB2312" w:eastAsia="仿宋_GB2312"/>
                <w:sz w:val="24"/>
                <w:szCs w:val="24"/>
              </w:rPr>
              <w:t>9:</w:t>
            </w:r>
            <w:r>
              <w:rPr>
                <w:rFonts w:hint="eastAsia" w:ascii="仿宋_GB2312" w:eastAsia="仿宋_GB2312"/>
                <w:sz w:val="24"/>
                <w:szCs w:val="24"/>
                <w:lang w:val="en-US" w:eastAsia="zh-CN"/>
              </w:rPr>
              <w:t>2</w:t>
            </w:r>
            <w:r>
              <w:rPr>
                <w:rFonts w:hint="eastAsia" w:ascii="仿宋_GB2312" w:eastAsia="仿宋_GB2312"/>
                <w:sz w:val="24"/>
                <w:szCs w:val="24"/>
              </w:rPr>
              <w:t>0～</w:t>
            </w:r>
            <w:r>
              <w:rPr>
                <w:rFonts w:hint="eastAsia" w:ascii="仿宋_GB2312" w:eastAsia="仿宋_GB2312"/>
                <w:sz w:val="24"/>
                <w:szCs w:val="24"/>
                <w:lang w:val="en-US" w:eastAsia="zh-CN"/>
              </w:rPr>
              <w:t>10;00</w:t>
            </w:r>
          </w:p>
        </w:tc>
        <w:tc>
          <w:tcPr>
            <w:tcW w:w="6274" w:type="dxa"/>
            <w:gridSpan w:val="2"/>
            <w:tcBorders>
              <w:top w:val="single" w:color="auto" w:sz="4" w:space="0"/>
              <w:left w:val="nil"/>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研讨评议优质课</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596"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440" w:lineRule="exact"/>
              <w:jc w:val="center"/>
              <w:rPr>
                <w:rFonts w:hint="default" w:ascii="仿宋_GB2312" w:eastAsia="仿宋_GB2312"/>
                <w:sz w:val="24"/>
                <w:szCs w:val="24"/>
                <w:lang w:val="en-US" w:eastAsia="zh-CN"/>
              </w:rPr>
            </w:pPr>
            <w:r>
              <w:rPr>
                <w:rFonts w:hint="eastAsia" w:ascii="仿宋_GB2312" w:eastAsia="仿宋_GB2312"/>
                <w:sz w:val="24"/>
                <w:szCs w:val="24"/>
              </w:rPr>
              <w:t>10:</w:t>
            </w:r>
            <w:r>
              <w:rPr>
                <w:rFonts w:hint="eastAsia" w:ascii="仿宋_GB2312" w:eastAsia="仿宋_GB2312"/>
                <w:sz w:val="24"/>
                <w:szCs w:val="24"/>
                <w:lang w:val="en-US" w:eastAsia="zh-CN"/>
              </w:rPr>
              <w:t>1</w:t>
            </w:r>
            <w:r>
              <w:rPr>
                <w:rFonts w:hint="eastAsia" w:ascii="仿宋_GB2312" w:eastAsia="仿宋_GB2312"/>
                <w:sz w:val="24"/>
                <w:szCs w:val="24"/>
              </w:rPr>
              <w:t>0～10:</w:t>
            </w:r>
            <w:r>
              <w:rPr>
                <w:rFonts w:hint="eastAsia" w:ascii="仿宋_GB2312" w:eastAsia="仿宋_GB2312"/>
                <w:sz w:val="24"/>
                <w:szCs w:val="24"/>
                <w:lang w:val="en-US" w:eastAsia="zh-CN"/>
              </w:rPr>
              <w:t>30</w:t>
            </w:r>
          </w:p>
        </w:tc>
        <w:tc>
          <w:tcPr>
            <w:tcW w:w="3824" w:type="dxa"/>
            <w:tcBorders>
              <w:top w:val="single" w:color="auto" w:sz="4" w:space="0"/>
              <w:left w:val="nil"/>
              <w:bottom w:val="single" w:color="auto" w:sz="4" w:space="0"/>
              <w:right w:val="inset" w:color="auto" w:sz="6" w:space="0"/>
            </w:tcBorders>
            <w:vAlign w:val="center"/>
          </w:tcPr>
          <w:p>
            <w:pPr>
              <w:ind w:firstLine="1200" w:firstLineChars="500"/>
              <w:rPr>
                <w:rFonts w:ascii="仿宋_GB2312" w:hAnsi="仿宋" w:eastAsia="仿宋_GB2312" w:cs="Times New Roman"/>
                <w:sz w:val="24"/>
                <w:szCs w:val="24"/>
              </w:rPr>
            </w:pPr>
            <w:r>
              <w:rPr>
                <w:rFonts w:hint="eastAsia" w:ascii="仿宋_GB2312" w:hAnsi="仿宋" w:eastAsia="仿宋_GB2312" w:cs="Times New Roman"/>
                <w:sz w:val="24"/>
                <w:szCs w:val="24"/>
                <w:lang w:val="en-US" w:eastAsia="zh-CN"/>
              </w:rPr>
              <w:t>留言条、通知</w:t>
            </w:r>
            <w:r>
              <w:rPr>
                <w:rFonts w:hint="eastAsia" w:ascii="仿宋_GB2312" w:hAnsi="仿宋" w:eastAsia="仿宋_GB2312" w:cs="Times New Roman"/>
                <w:sz w:val="24"/>
                <w:szCs w:val="24"/>
              </w:rPr>
              <w:t xml:space="preserve"> </w:t>
            </w:r>
          </w:p>
        </w:tc>
        <w:tc>
          <w:tcPr>
            <w:tcW w:w="2450" w:type="dxa"/>
            <w:tcBorders>
              <w:top w:val="single" w:color="auto" w:sz="4" w:space="0"/>
              <w:left w:val="nil"/>
              <w:bottom w:val="single" w:color="auto" w:sz="4" w:space="0"/>
              <w:right w:val="inset" w:color="auto" w:sz="6" w:space="0"/>
            </w:tcBorders>
            <w:vAlign w:val="center"/>
          </w:tcPr>
          <w:p>
            <w:pPr>
              <w:spacing w:line="440" w:lineRule="exact"/>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安师大附小 张露露</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650" w:hRule="exact"/>
          <w:jc w:val="center"/>
        </w:trPr>
        <w:tc>
          <w:tcPr>
            <w:tcW w:w="1807" w:type="dxa"/>
            <w:tcBorders>
              <w:top w:val="single" w:color="auto" w:sz="4" w:space="0"/>
              <w:left w:val="inset" w:color="auto" w:sz="6" w:space="0"/>
              <w:bottom w:val="inset" w:color="auto" w:sz="6" w:space="0"/>
              <w:right w:val="inset" w:color="auto" w:sz="6" w:space="0"/>
            </w:tcBorders>
            <w:vAlign w:val="center"/>
          </w:tcPr>
          <w:p>
            <w:pPr>
              <w:spacing w:line="440" w:lineRule="exact"/>
              <w:jc w:val="center"/>
              <w:rPr>
                <w:rFonts w:hint="default" w:ascii="仿宋_GB2312" w:eastAsia="仿宋_GB2312"/>
                <w:sz w:val="24"/>
                <w:szCs w:val="24"/>
                <w:lang w:val="en-US" w:eastAsia="zh-CN"/>
              </w:rPr>
            </w:pPr>
            <w:r>
              <w:rPr>
                <w:rFonts w:hint="eastAsia" w:ascii="仿宋_GB2312" w:eastAsia="仿宋_GB2312"/>
                <w:sz w:val="24"/>
                <w:szCs w:val="24"/>
              </w:rPr>
              <w:t>10:</w:t>
            </w:r>
            <w:r>
              <w:rPr>
                <w:rFonts w:hint="eastAsia" w:ascii="仿宋_GB2312" w:eastAsia="仿宋_GB2312"/>
                <w:sz w:val="24"/>
                <w:szCs w:val="24"/>
                <w:lang w:val="en-US" w:eastAsia="zh-CN"/>
              </w:rPr>
              <w:t>30</w:t>
            </w:r>
            <w:r>
              <w:rPr>
                <w:rFonts w:hint="eastAsia" w:ascii="仿宋_GB2312" w:eastAsia="仿宋_GB2312"/>
                <w:sz w:val="24"/>
                <w:szCs w:val="24"/>
              </w:rPr>
              <w:t>～10:</w:t>
            </w:r>
            <w:r>
              <w:rPr>
                <w:rFonts w:hint="eastAsia" w:ascii="仿宋_GB2312" w:eastAsia="仿宋_GB2312"/>
                <w:sz w:val="24"/>
                <w:szCs w:val="24"/>
                <w:lang w:val="en-US" w:eastAsia="zh-CN"/>
              </w:rPr>
              <w:t>50</w:t>
            </w:r>
          </w:p>
        </w:tc>
        <w:tc>
          <w:tcPr>
            <w:tcW w:w="3824" w:type="dxa"/>
            <w:tcBorders>
              <w:top w:val="single" w:color="auto" w:sz="4" w:space="0"/>
              <w:left w:val="nil"/>
              <w:bottom w:val="inset" w:color="auto" w:sz="6" w:space="0"/>
              <w:right w:val="single" w:color="auto" w:sz="4" w:space="0"/>
            </w:tcBorders>
            <w:vAlign w:val="center"/>
          </w:tcPr>
          <w:p>
            <w:pPr>
              <w:ind w:firstLine="1440" w:firstLineChars="600"/>
              <w:rPr>
                <w:rFonts w:hint="eastAsia" w:ascii="仿宋_GB2312" w:hAnsi="仿宋" w:eastAsia="仿宋_GB2312" w:cs="Times New Roman"/>
                <w:sz w:val="24"/>
                <w:szCs w:val="24"/>
                <w:lang w:eastAsia="zh-CN"/>
              </w:rPr>
            </w:pPr>
            <w:r>
              <w:rPr>
                <w:rFonts w:hint="eastAsia" w:ascii="仿宋_GB2312" w:hAnsi="仿宋" w:eastAsia="仿宋_GB2312" w:cs="Times New Roman"/>
                <w:sz w:val="24"/>
                <w:szCs w:val="24"/>
                <w:lang w:val="en-US" w:eastAsia="zh-CN"/>
              </w:rPr>
              <w:t>倡议书</w:t>
            </w:r>
          </w:p>
        </w:tc>
        <w:tc>
          <w:tcPr>
            <w:tcW w:w="2450" w:type="dxa"/>
            <w:tcBorders>
              <w:top w:val="single" w:color="auto" w:sz="4" w:space="0"/>
              <w:left w:val="single" w:color="auto" w:sz="4" w:space="0"/>
              <w:bottom w:val="nil"/>
              <w:right w:val="inset" w:color="auto" w:sz="6" w:space="0"/>
            </w:tcBorders>
            <w:vAlign w:val="center"/>
          </w:tcPr>
          <w:p>
            <w:pPr>
              <w:spacing w:line="440" w:lineRule="exact"/>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安师大附小 何婧</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901"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11:00～11:40</w:t>
            </w:r>
          </w:p>
        </w:tc>
        <w:tc>
          <w:tcPr>
            <w:tcW w:w="6274" w:type="dxa"/>
            <w:gridSpan w:val="2"/>
            <w:tcBorders>
              <w:top w:val="single" w:color="auto" w:sz="4"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hAnsi="仿宋" w:eastAsia="仿宋_GB2312" w:cs="Times New Roman"/>
                <w:sz w:val="24"/>
                <w:szCs w:val="24"/>
              </w:rPr>
              <w:t>“阳光云课”指导、审核</w:t>
            </w:r>
            <w:r>
              <w:rPr>
                <w:rFonts w:hint="eastAsia" w:ascii="仿宋_GB2312" w:hAnsi="仿宋" w:eastAsia="仿宋_GB2312" w:cs="Times New Roman"/>
                <w:sz w:val="24"/>
                <w:szCs w:val="24"/>
                <w:lang w:eastAsia="zh-CN"/>
              </w:rPr>
              <w:t>（李波、</w:t>
            </w:r>
            <w:r>
              <w:rPr>
                <w:rFonts w:hint="eastAsia" w:ascii="仿宋_GB2312" w:hAnsi="仿宋" w:eastAsia="仿宋_GB2312" w:cs="Times New Roman"/>
                <w:sz w:val="24"/>
                <w:szCs w:val="24"/>
                <w:lang w:val="en-US" w:eastAsia="zh-CN"/>
              </w:rPr>
              <w:t>姚金中、程洁、刘璟</w:t>
            </w:r>
            <w:r>
              <w:rPr>
                <w:rFonts w:hint="eastAsia" w:ascii="仿宋_GB2312" w:hAnsi="仿宋" w:eastAsia="仿宋_GB2312" w:cs="Times New Roman"/>
                <w:sz w:val="24"/>
                <w:szCs w:val="24"/>
                <w:lang w:eastAsia="zh-CN"/>
              </w:rPr>
              <w:t>等）</w:t>
            </w:r>
          </w:p>
        </w:tc>
        <w:tc>
          <w:tcPr>
            <w:tcW w:w="1087" w:type="dxa"/>
            <w:tcBorders>
              <w:left w:val="nil"/>
              <w:bottom w:val="single" w:color="auto" w:sz="4" w:space="0"/>
              <w:right w:val="inset" w:color="auto" w:sz="6" w:space="0"/>
            </w:tcBorders>
            <w:vAlign w:val="center"/>
          </w:tcPr>
          <w:p>
            <w:pPr>
              <w:spacing w:line="440" w:lineRule="exact"/>
              <w:rPr>
                <w:rFonts w:ascii="仿宋_GB2312" w:eastAsia="仿宋_GB2312"/>
                <w:sz w:val="24"/>
                <w:szCs w:val="24"/>
              </w:rPr>
            </w:pPr>
          </w:p>
        </w:tc>
      </w:tr>
    </w:tbl>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四、参加人员</w:t>
      </w:r>
      <w:r>
        <w:rPr>
          <w:rFonts w:hint="eastAsia" w:ascii="仿宋_GB2312" w:eastAsia="仿宋_GB2312"/>
          <w:sz w:val="28"/>
          <w:szCs w:val="28"/>
        </w:rPr>
        <w:t>：</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相关区县教研员，指导教师等。</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五、温馨提示</w:t>
      </w:r>
      <w:r>
        <w:rPr>
          <w:rFonts w:hint="eastAsia" w:ascii="仿宋_GB2312" w:eastAsia="仿宋_GB2312"/>
          <w:sz w:val="28"/>
          <w:szCs w:val="28"/>
        </w:rPr>
        <w:t>：</w:t>
      </w:r>
    </w:p>
    <w:p>
      <w:pPr>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此次活动差旅费回所在单位报销。</w:t>
      </w:r>
    </w:p>
    <w:p>
      <w:pPr>
        <w:spacing w:line="440" w:lineRule="exact"/>
        <w:jc w:val="right"/>
        <w:rPr>
          <w:rFonts w:hint="eastAsia" w:ascii="仿宋_GB2312" w:eastAsia="仿宋_GB2312"/>
          <w:sz w:val="28"/>
          <w:szCs w:val="28"/>
        </w:rPr>
      </w:pPr>
      <w:r>
        <w:rPr>
          <w:rFonts w:hint="eastAsia" w:ascii="仿宋_GB2312" w:eastAsia="仿宋_GB2312"/>
          <w:sz w:val="28"/>
          <w:szCs w:val="28"/>
        </w:rPr>
        <w:t xml:space="preserve">                                    </w:t>
      </w:r>
    </w:p>
    <w:p>
      <w:pPr>
        <w:spacing w:line="440" w:lineRule="exact"/>
        <w:jc w:val="right"/>
        <w:rPr>
          <w:rFonts w:ascii="仿宋_GB2312" w:eastAsia="仿宋_GB2312"/>
          <w:sz w:val="28"/>
          <w:szCs w:val="28"/>
        </w:rPr>
      </w:pPr>
      <w:r>
        <w:rPr>
          <w:rFonts w:hint="eastAsia" w:ascii="仿宋_GB2312" w:eastAsia="仿宋_GB2312"/>
          <w:sz w:val="28"/>
          <w:szCs w:val="28"/>
        </w:rPr>
        <w:t>芜湖市教育局教研室</w:t>
      </w:r>
    </w:p>
    <w:p>
      <w:pPr>
        <w:spacing w:line="440" w:lineRule="exact"/>
        <w:jc w:val="right"/>
        <w:rPr>
          <w:rFonts w:ascii="仿宋_GB2312" w:eastAsia="仿宋_GB2312"/>
          <w:sz w:val="28"/>
          <w:szCs w:val="28"/>
        </w:rPr>
      </w:pPr>
      <w:r>
        <w:rPr>
          <w:rFonts w:hint="eastAsia" w:ascii="仿宋_GB2312" w:eastAsia="仿宋_GB2312"/>
          <w:sz w:val="28"/>
          <w:szCs w:val="28"/>
        </w:rPr>
        <w:t xml:space="preserve">                                     2020年9月</w:t>
      </w:r>
      <w:r>
        <w:rPr>
          <w:rFonts w:hint="eastAsia" w:ascii="仿宋_GB2312" w:eastAsia="仿宋_GB2312"/>
          <w:sz w:val="28"/>
          <w:szCs w:val="28"/>
          <w:lang w:val="en-US" w:eastAsia="zh-CN"/>
        </w:rPr>
        <w:t>10</w:t>
      </w:r>
      <w:r>
        <w:rPr>
          <w:rFonts w:hint="eastAsia" w:ascii="仿宋_GB2312" w:eastAsia="仿宋_GB2312"/>
          <w:sz w:val="28"/>
          <w:szCs w:val="28"/>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5D463CC"/>
    <w:rsid w:val="00091B08"/>
    <w:rsid w:val="00154C5C"/>
    <w:rsid w:val="00170334"/>
    <w:rsid w:val="00272BAA"/>
    <w:rsid w:val="002E4F40"/>
    <w:rsid w:val="00304E7F"/>
    <w:rsid w:val="00414285"/>
    <w:rsid w:val="004A59D7"/>
    <w:rsid w:val="00517B87"/>
    <w:rsid w:val="008D7EDE"/>
    <w:rsid w:val="00907457"/>
    <w:rsid w:val="009A1F07"/>
    <w:rsid w:val="00B86F7E"/>
    <w:rsid w:val="00D4428D"/>
    <w:rsid w:val="00D64856"/>
    <w:rsid w:val="00F471AA"/>
    <w:rsid w:val="012A1F64"/>
    <w:rsid w:val="15C423E9"/>
    <w:rsid w:val="161C2E43"/>
    <w:rsid w:val="29201958"/>
    <w:rsid w:val="2F640DD3"/>
    <w:rsid w:val="2FCC4F32"/>
    <w:rsid w:val="47D07359"/>
    <w:rsid w:val="4C1A38DE"/>
    <w:rsid w:val="526013EF"/>
    <w:rsid w:val="55C70539"/>
    <w:rsid w:val="65D463CC"/>
    <w:rsid w:val="71377163"/>
    <w:rsid w:val="774F2E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102</Words>
  <Characters>585</Characters>
  <Lines>4</Lines>
  <Paragraphs>1</Paragraphs>
  <TotalTime>7</TotalTime>
  <ScaleCrop>false</ScaleCrop>
  <LinksUpToDate>false</LinksUpToDate>
  <CharactersWithSpaces>686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2020-09-01T06:51:00Z</dcterms:created>
  <dc:creator>Administrator</dc:creator>
  <cp:lastModifiedBy>Administrator</cp:lastModifiedBy>
  <cp:lastPrinted>2020-09-03T00:42:00Z</cp:lastPrinted>
  <dcterms:modified xsi:type="dcterms:W3CDTF">2020-09-10T06:46:15Z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